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2023年度宿迁市司法局部门预算公开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(一)承担全面依法治市重大问题的政策研究，协调有关方面提出全面依法治市中长期规划建议，负责有关重大决策部署督查工作。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市地方性法规、市政府规章制定项目建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起草或者组织起草有关市级地方性法规、市政府规章草案。承担审查修改、协调论证市级部门报送市政府的地方性法规、规章草案的责任。承办相关法律、法规和规章草案的征求意见工作。负责立法协调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承办市政府规章的解释、立法后评估工作。负责协调各地各部门实施法律、法规、规章中的有关争议和问题。承办市政府规章清理、编纂工作，组织翻译、审定市政府规章外文正式译本。承办县(区)政府以及市级部门规范性文件的备案审查工作。负责有关市政府规范性文件或者拟由市政府批准的市级部门规范性文件的合法性审查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承担统筹推进法治政府建设的责任。指导、监督市政府各部门、地方各级政府依法行政工作。负责综合协调行政执法，承担推进行政执法体制改革有关工作，推进严格规范公正文明执法。承担市政府的行政复议、行政赔偿工作。指导监督全市行政复议、行政应诉和行政赔偿工作，负责办理行政复议和行政应诉案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承担统筹规划法治社会建设的责任。负责拟订法治宣传教育规划，组织实施普法宣传工作，组织对外法治宣传。指导依法治理和法治创建工作。指导调解工作和人民陪审员、人民监督员选任管理工作，推进司法所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(七)指导、管理社区矫正工作。指导刑满释放人员帮教安置工作。支持、指导全市司法行政系统强制隔离戒毒后续照管工作。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拟订公共法律服务体系建设规划并指导实施，统筹和布局城乡、区域法律服务资源。指导监督全市法律援助、司法鉴定、公证、仲裁和基层法律服务管理工作。指导协调全市12348法律服务工作。承担市政府法律顾问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(九)指导监督全市律师管理工作。指导监督全市公职律师、公司律师工作。管理涉港澳台有关律师事务。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(十)负责全市国家统一法律职业资格考试的组织实施工作。负责全市国家统一法律职业资格和证书管理工作。负责规划和指导法律职业人员入职前培训工作。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(十一)指导本系统对外交流合作，承办司法行政涉港澳台法律事务。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(十二)负责本系统警车管理工作，指导监督本系统财务、装备、设施、场所等保障工作。负责本系统的内部审计工作。指导本系统的信息化建设。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(十三)规划、协调、指导全市法治人才队伍建设相关工作，指导、监督本系统队伍建设，管理直属单位的领导干部，协助各县(区)党委、政府管理司法局领导干部。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宿迁市司法局本级。市司法局下设依法治市办秘书处(法治调研处)、法治督察处、办公室、财务装备审计处、立法处(备案审查处)、行政复议与行政应诉处、行政执法协调监督处、社区矫正管理处(社区矫正管理支队)、普法与依法治理处、人民参与和促进法治处、公共法律服务管理处、律师工作处、行政审批处(法律职业资格管理处)、组织人事处、宣传教育处、12348指挥中心等。本部门下属单位包括:宿迁市非诉讼服务中心，宿迁市法律援助中心，宿迁市政府法制事务服务中心。本部门下属单位包括:宿迁市非诉讼服务中心，宿迁市法律援助中心，宿迁市政府法制事务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eastAsia="zh-CN"/>
        </w:rPr>
        <w:t>1</w:t>
      </w:r>
      <w:r>
        <w:rPr>
          <w:rFonts w:hint="eastAsia" w:ascii="仿宋" w:hAnsi="仿宋" w:eastAsia="仿宋" w:cs="仿宋"/>
        </w:rPr>
        <w:t>家，具体包括：</w:t>
      </w:r>
      <w:r>
        <w:rPr>
          <w:rFonts w:ascii="仿宋" w:hAnsi="仿宋" w:eastAsia="仿宋" w:cs="仿宋"/>
        </w:rPr>
        <w:t>宿迁市司法局(本级)，宿迁市非诉讼服务中心，宿迁市法律援助中心，宿迁市政府法制事务服务中心</w:t>
      </w:r>
      <w:r>
        <w:rPr>
          <w:rFonts w:hint="eastAsia" w:ascii="仿宋" w:hAnsi="仿宋" w:eastAsia="仿宋" w:cs="仿宋"/>
          <w:lang w:val="en-US" w:eastAsia="zh-CN"/>
        </w:rPr>
        <w:t>三家事业单位从2023年合并到本级预算</w:t>
      </w:r>
      <w:bookmarkStart w:id="0" w:name="_GoBack"/>
      <w:bookmarkEnd w:id="0"/>
      <w:r>
        <w:rPr>
          <w:rFonts w:ascii="仿宋" w:hAnsi="仿宋" w:eastAsia="仿宋" w:cs="仿宋"/>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我们将始终坚持以习近平新时代中国特色社会主义思想和习近平法治思想为指引，以贯彻党的二十大精神为主线，全面履行“一个统筹、四大职能”的担当使命，扎实推进“后创建时代”法治政府建设，全力打造全省法治一体建设示范区，着力构建法治政府建设示范城市群，奋力推动法治宿迁建设和司法行政工作持续走在全省全国前列。</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聚焦定向领航，坚持不懈用习近平法治思想引领新时代法治宿迁建设。坚持党对法治建设的集中统一领导，统筹依法治市各领域工作，把党领导立法、保证执法、支持司法、带头守法要求贯穿到全面依法治市全过程、各方面。推进实施法治宿迁建设“一规划两方案”，持续贯彻落实《宿迁市关于打造全省法治一体建设示范区的实施方案》，启动法治政府建设示范工程，健全“后创建时代”法治政府建设长效机制，持续深化法治县（区）、法治乡镇（街道）、法治机关、民主法治示范村、法治园区一体创建，打造法治一体建设“宿迁样本”。创新完善法治建设政治巡察机制，推动党政主要负责人履行推进法治建设第一责任人职责。支持县区创建全国法治政府建设示范县（区），加快构建法治政府建设示范城市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聚焦护航担当，持之以恒服务保障“四化”同步集成改革。立足法治固根本、稳预期、利长远作用，推进落实《市人大常委会关于全面推进法治化营商环境的决定》，打造全省法治化营商环境最优城市，让法治成为宿迁营商环境建设的最好品牌和核心竞争力。深化“产业链+法律服务”机制，高效运行重点产业链企业法务联盟，全面推进法治化园区建设，探索开展企业合规改革试点，提升企业法律风险防范能力。发挥好运河品牌电商发展法治保障中心纽带作用，继续推进电商法治化营商环境建设，打造电商领域法治保障交流合作平台。加快推进“智慧法治”提档升级和实战化应用，努力让司法行政工作插上信息化“腾飞的翅膀”的目标加速实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聚焦人民至上，切实增强人民群众的法治获得感、幸福感、安全感。紧扣“四化”同步集成改革发展定位和群众“急难愁盼”问题，加强重点领域高质量立法，科学编制立法规划和立法工作计划，协调解决地方立法工作中的重大问题。推进严格规范公正文明执法，深化基层综合执法规范化建设，严格落实基层行政执法“三项制度”，努力让人民群众在每一起执法案件中感受到公平正义。加强行政复议应诉规范化建设，发挥行政复议化解行政争议主渠道作用，强化“府院联动”，推动行政诉讼案件、败诉案件“双下降”。持续优化法治惠民服务，大力推进公共法律服务均等化，优化“全生命周期”法律服务产品，完善覆盖城乡、便捷高效、均等普惠的现代公共法律服务体系，确保人民群众对公共法律服务的知晓率、首选率、满意率显著提升。扎实办好法治为民实事，加大现代科技在法治服务领域应用，为人民群众提供更加优质的法律服务。全面推进法治乡村建设，推进实施乡村“法律明白人”培养工程和农村学法用法示范户培育工程，加速“援法议事”进小区，努力在全社会营造办事依法、遇事找法、解决问题用法、化解矛盾靠法的浓厚氛围。加强民主法治示范村（社区）动态管理，进一步拓宽群众参与立法、执法、司法等法治实践渠道，切实做到法治建设过程让人民参与、效果由人民评判、成果由人民共享。</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聚焦良法善治，加快推进市域社会治理现代化法治化水平。深入实施“八五”普法规划，严格落实“谁执法谁普法”责任制，积极培育公民法治信仰。坚持和发扬新时代“枫桥经验”，深化完善矛盾纠纷“分级诊疗、多元化解”机制，开展社会矛盾纠纷风险隐患排查化解行动，大力推广“苏解纷”平台、非诉服务“宿9条”，持续推动95%以上的矛盾纠纷在基层得到妥善化解。持续放大社区矫正“133”模式品牌效应，持续推进“智慧矫正”建设，加大对社区矫正对象监督管理力度，确保全市在册社区矫正对象在管在控，坚决防止社区矫正对象变相脱管漏管失控。加强刑满释放人员安置帮教工作，帮助其回归社会、融入社会。持之以恒抓好安全生产专项整治行动“收官战”，持续推进疫情防控常态化监管，坚决守住“零输入、零感染”战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聚焦德才兼备，持续打造新时代过硬司法行政铁军。深入贯彻落实新时代党的建设总要求，始终坚持“严”的主基调不动摇，坚决打好铁腕治警、正风肃纪攻坚战持久战，巩固深化队伍教育整顿成果，一体推进不敢腐、不想腐、不能腐。坚持抓班子作表率，发挥好领导班子“头雁效应”，强化对领导干部的监督管理，落实领导干部任前政治体检制度。坚持把纪律和规矩挺在前面，坚持严管厚爱，全方位加强对社区矫正、行政执法、法律服务等执法服务领域的风险防控和过程监督，严肃整治群众身边腐败问题和不正之风，大力弘扬“三真三实”精神，锲而不舍抓好作风建设，持续营造风清气正、干事创业的政治生态，为奋力动法治宿迁建设和司法行政工作持续走在前列提供坚强有力的政治保障。</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宿迁市司法局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宿迁市司法局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1,956.93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1,956.93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1,956.93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1,956.93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1,956.93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1,956.93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1,956.93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1,956.93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1,956.93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1,956.93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1,956.93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1,956.93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117001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1,956.93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1,956.93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1,956.93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其他司法支出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宿迁市司法局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1,956.93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1,956.93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1,956.93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1,676.93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1,459.35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217.58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其他司法支出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宿迁市司法局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1,676.93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1,459.35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1,459.35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1,676.93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其他司法支出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1,676.93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1,459.35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1,439.01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宿迁市司法局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宿迁市司法局2023年度收入、支出预算总计1,956.93万元，与上年相比收、支预算总计各增加136.07万元，增长7.47%。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（一）收入预算总计1,956.93万元。包括：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1．本年收入合计1,956.93万元。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（1）一般公共预算拨款收入1,956.93万元，与上年相比增加136.07万元，增长7.47%。主要原因是人员变动及人员经费增加。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（二）支出预算总计1,956.93万元。包括：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1．本年支出合计1,956.93万元。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（1）公共安全支出（类）支出1,956.93万元，主要用于人员经费支出、公用经费支出、各个处室市业务专项经费支出。与上年相比增加136.07万元，增长7.47%。主要原因是人员变动。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宿迁市司法局2023年收入预算合计1,956.93万元，包括本年收入1,956.93万元，上年结转结余0万元。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本年一般公共预算收入1,956.93万元，占100%；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宿迁市司法局2023年支出预算合计1,956.93万元，其中：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基本支出1,676.93万元，占85.69%；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项目支出280万元，占14.31%；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宿迁市司法局2023年度财政拨款收、支总预算1,956.93万元。与上年相比，财政拨款收、支总计各增加136.07万元，增长7.47%。主要原因是人员变动。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宿迁市司法局2023年财政拨款预算支出1,956.93万元，占本年支出合计的100%。与上年相比，财政拨款支出增加136.07万元，增长7.47%。主要原因是人员变动。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1.司法（款）行政运行（项）支出1,676.93万元，与上年相比增加525.39万元，增长45.62%。主要原因是人员调入及下属事业单位年度预算合并到局本级。</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2.司法（款）事业运行（项）支出0万元，与上年相比减少194.32万元，减少100%。主要原因是下属事业单位年度预算合并到局本级。</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3.司法（款）其他司法支出（项）支出280万元，与上年相比减少195万元，减少41.05%。主要原因是全国法治政府建设示范市已经创建成功，本年市级专项相应减少。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宿迁市司法局2023年度财政拨款基本支出预算1,676.93万元，其中：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1,459.35万元。主要包括：基本工资、津贴补贴、奖金、绩效工资、机关事业单位基本养老保险缴费、职业年金缴费、职工基本医疗保险缴费、其他社会保障缴费、住房公积金、其他工资福利支出、退休费、生活补助、奖励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（二）公用经费217.58万元。主要包括：办公费、水费、电费、差旅费、维修（护）费、会议费、培训费、公务接待费、劳务费、工会经费、福利费、公务用车运行维护费、其他交通费用、其他商品和服务支出。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宿迁市司法局2023年一般公共预算财政拨款支出预算1,956.93万元，与上年相比增加136.07万元，增长7.47%。主要原因是人员变动。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宿迁市司法局2023年度一般公共预算财政拨款基本支出预算1,676.93万元，其中：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1,459.35万元。主要包括：基本工资、津贴补贴、奖金、绩效工资、机关事业单位基本养老保险缴费、职业年金缴费、职工基本医疗保险缴费、其他社会保障缴费、住房公积金、其他工资福利支出、退休费、生活补助、奖励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（二）公用经费217.58万元。主要包括：办公费、水费、电费、差旅费、维修（护）费、会议费、培训费、公务接待费、劳务费、工会经费、福利费、公务用车运行维护费、其他交通费用、其他商品和服务支出。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一般公共预算拨款安排的“三公”经费预算支出中，因公出国（境）费支出0万元，占“三公”经费的0%；公务用车购置及运行维护费支出12万元，占“三公”经费的64.1%；公务接待费支出6.72万元，占“三公”经费的35.9%。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2．公务用车购置及运行维护费预算支出12万元。其中：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（2）公务用车运行维护费预算支出12万元，比上年预算减少18万元，主要原因是厉行节约，缩减三公经费支出。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3．公务接待费预算支出6.72万元，比上年预算减少4.77万元，主要原因是厉行节约，缩减三公经费支出。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宿迁市司法局2023年度一般公共预算拨款安排的会议费预算支出31万元，比上年预算减少51万元，主要原因是厉行节约，缩减会议费支出。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宿迁市司法局2023年度一般公共预算拨款安排的培训费预算支出30.7万元，比上年预算减少59.25万元，主要原因是厉行节约，缩减培训费支出。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宿迁市司法局2023年国有资本经营预算支出0万元。与上年预算数相同。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2023年本部门一般公共预算机关运行经费预算支出217.58万元。与上年相比增加22.78万元，增长11.69%。主要原因是人员变动。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本部门共有车辆5辆，其中，副部（省）级及以上领导用车0辆、主要领导干部用车0辆、机要通信用车0辆、应急保障用车0辆、执法执勤用车</w:t>
      </w:r>
      <w:r>
        <w:rPr>
          <w:rFonts w:hint="eastAsia" w:ascii="仿宋" w:hAnsi="仿宋" w:eastAsia="仿宋" w:cs="仿宋"/>
          <w:lang w:val="en-US" w:eastAsia="zh-CN"/>
        </w:rPr>
        <w:t>5</w:t>
      </w:r>
      <w:r>
        <w:rPr>
          <w:rFonts w:ascii="仿宋" w:hAnsi="仿宋" w:eastAsia="仿宋" w:cs="仿宋"/>
        </w:rPr>
        <w:t>辆、特种专业技术用车0辆、离退休干部用车0辆，其他用车</w:t>
      </w:r>
      <w:r>
        <w:rPr>
          <w:rFonts w:hint="eastAsia" w:ascii="仿宋" w:hAnsi="仿宋" w:eastAsia="仿宋" w:cs="仿宋"/>
          <w:lang w:val="en-US" w:eastAsia="zh-CN"/>
        </w:rPr>
        <w:t>0</w:t>
      </w:r>
      <w:r>
        <w:rPr>
          <w:rFonts w:ascii="仿宋" w:hAnsi="仿宋" w:eastAsia="仿宋" w:cs="仿宋"/>
        </w:rPr>
        <w:t>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2023年度，本部门整体支出纳入绩效目标管理，涉及财政性资金1,956.93万元；本部门共1个项目纳入绩效目标管理，涉及财政性资金合计280万元，占财政性资金(基本支出除外)总额的比例为100%。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八、公共安全支出(类)司法(款)行政运行(项)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九、公共安全支出(类)司法(款)其他司法支出(项)</w:t>
      </w:r>
      <w:r>
        <w:rPr>
          <w:rFonts w:ascii="仿宋" w:hAnsi="仿宋" w:eastAsia="仿宋" w:cs="仿宋"/>
          <w:b/>
        </w:rPr>
        <w:t>：</w:t>
      </w:r>
      <w:r>
        <w:rPr>
          <w:rFonts w:hint="eastAsia" w:ascii="仿宋" w:hAnsi="仿宋" w:eastAsia="仿宋" w:cs="仿宋"/>
        </w:rPr>
        <w:t>反映除上述项目以外其他用于司法方面的支出。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宿迁市司法局</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jBkNmNiZWY3M2FlNzc3NDY0YTMzZDI3MTVmY2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0073A0"/>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0A1269"/>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470F91"/>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5655C"/>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24A3B"/>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9977</Words>
  <Characters>11846</Characters>
  <Paragraphs>501</Paragraphs>
  <TotalTime>2</TotalTime>
  <ScaleCrop>false</ScaleCrop>
  <LinksUpToDate>false</LinksUpToDate>
  <CharactersWithSpaces>12033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您好</cp:lastModifiedBy>
  <dcterms:modified xsi:type="dcterms:W3CDTF">2023-03-14T06:50:48Z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93828A06C3F5406F831BFA13A0916A51</vt:lpwstr>
  </property>
  <property fmtid="{D5CDD505-2E9C-101B-9397-08002B2CF9AE}" pid="5" name="KSOProductBuildVer">
    <vt:lpwstr>2052-11.1.0.13703</vt:lpwstr>
  </property>
  <property fmtid="{D5CDD505-2E9C-101B-9397-08002B2CF9AE}" pid="6" name="LastSaved">
    <vt:filetime>2021-04-15T00:00:00Z</vt:filetime>
  </property>
</Properties>
</file>