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1240" w:lineRule="exact"/>
        <w:ind w:left="0" w:right="0" w:firstLine="0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w w:val="65"/>
          <w:sz w:val="144"/>
        </w:rPr>
      </w:pPr>
      <w:bookmarkStart w:id="0" w:name="_Toc17376"/>
      <w:bookmarkEnd w:id="0"/>
      <w:bookmarkStart w:id="1" w:name="_Hlk104547039"/>
      <w:bookmarkEnd w:id="1"/>
      <w:bookmarkStart w:id="2" w:name="_Toc24727"/>
      <w:bookmarkEnd w:id="2"/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topLinePunct w:val="0"/>
        <w:autoSpaceDE/>
        <w:autoSpaceDN/>
        <w:bidi w:val="0"/>
        <w:spacing w:after="0" w:line="1780" w:lineRule="exact"/>
        <w:ind w:left="0" w:right="0" w:firstLine="0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FFFF" w:themeColor="background1"/>
          <w:w w:val="65"/>
          <w:sz w:val="144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FFFF" w:themeColor="background1"/>
          <w:w w:val="65"/>
          <w:sz w:val="144"/>
          <w14:textFill>
            <w14:solidFill>
              <w14:schemeClr w14:val="bg1"/>
            </w14:solidFill>
          </w14:textFill>
        </w:rPr>
        <w:t>宿迁市人民政府文件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宿政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发〔202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napToGrid/>
          <w:color w:val="auto"/>
          <w:spacing w:val="-10"/>
          <w:sz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5615940" cy="0"/>
                <wp:effectExtent l="0" t="15240" r="7620" b="304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115">
                          <a:solidFill>
                            <a:schemeClr val="bg1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7.95pt;height:0pt;width:442.2pt;z-index:251659264;mso-width-relative:page;mso-height-relative:page;" filled="f" stroked="t" coordsize="21600,21600" o:gfxdata="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XXFcI1AAAAAcBAAAPAAAAAAAAAAEAIAAAACIAAABkcnMvZG93bnJldi54bWxQSwEC&#10;FAAUAAAACACHTuJAuQM0PL8BAABiAwAADgAAAAAAAAABACAAAAAjAQAAZHJzL2Uyb0RvYy54bWxQ&#10;SwUGAAAAAAYABgBZAQAAVAUAAAAA&#10;">
                <v:fill on="f" focussize="0,0"/>
                <v:stroke weight="2.4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市政府关于印发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宿迁市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支持新型储能产业发展若干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  <w:lang w:val="en-US" w:eastAsia="zh-CN"/>
        </w:rPr>
        <w:t>政策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措施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各县、区人民政府，市各开发区、新区、园区管委会，市各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有关部门和单位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《宿迁市支持新型储能产业发展的若干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措施》已经市政府六届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七次常务会议审议通过，现印发给你们，请认真贯彻落实。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5219" w:firstLineChars="1631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宿迁市人民政府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5177" w:firstLineChars="1618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（此件公开发布）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宿迁市支持新型储能产业发展的若干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  <w:lang w:val="en-US" w:eastAsia="zh-CN"/>
        </w:rPr>
        <w:t>政策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jc w:val="center"/>
        <w:textAlignment w:val="auto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新型储能产业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发展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前景广阔，是促进区域经济绿色发展的有效抓手。为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抢抓新一轮窗口期和机遇期，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促进我市储能产业集聚发展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，结合我市实际，特制定本政策措施。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u w:val="none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目标定位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坚持以习近平新时代中国特色社会主义思想为指导，以碳达峰碳中和为目标，立足我市产业发展实际，尽快引建一批储能产业项目，初步建立储能产业链条，不断扩大储能应用规模，从科技创新、推广应用、金融支撑等方面全力强化支持政策，将我市打造成在国内储能产业具有影响力的制造业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二、支持</w:t>
      </w:r>
      <w:r>
        <w:rPr>
          <w:rFonts w:hint="default" w:ascii="Times New Roman" w:hAnsi="Times New Roman" w:eastAsia="方正黑体_GBK" w:cs="Times New Roman"/>
          <w:sz w:val="32"/>
          <w:szCs w:val="32"/>
          <w:u w:val="none"/>
        </w:rPr>
        <w:t>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本政策措施重点支持电化学储能、物理储能、氢能等先进技术路线的原材料、元器件、工艺装备、电芯模组、电池管理系统、能量管理系统、变流器、系统集成、建设运营、市场服务、电池回收与梯次利用等重点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三、支持政策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（一）加快项目招引建设。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重点招引新型储能领域制造业企业。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对科技含量高、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节能环保优、带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动效应强的新型储能重大项目，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由各县区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采取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一事一议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一企一策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方式在用地、用能、环保、金融等方面予以重点支持。对新招引的能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全市储能产业发展起支撑性作用的行业龙头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企业和重要补链企业，对于当期设备投资超亿元的，在其竣工投产后，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按照认定设备投资额给予不超过10%的补贴，单个企业最高2000万元。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  <w:t>（市商务局、市财政局、各县区人民政府、市各功能区管委会按职责分工负责）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（二）推动企业科技创新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企业引进省内外先进技术成果在本市内转移转化的，按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技术合同实际成交额的5%给予奖补；企业受让高校院所科技成果单项超过100万元且科技成果在本市转化的，按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实际支付额的15%给予奖补，每户每年最高100万元。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围绕产业链上关键技术需求，组织实施产业关键技术研发，对企业开展关键核心技术攻关产生的研发费用给予3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%补贴，最高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300万元。首次通过高新技术企业认定的奖励50万元。首次入选省创新型领军企业、省百强创新型企业的奖励100万元。对属于关键环节清单的项目，给予不超过实际投入20%的奖补，单个项目最高不超过300万元。积极稳妥推进梯次利用产业发展和示范项目建设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  <w:t>（市发展改革委、市科技局、市工业和信息化局、市财政局按职责分工负责）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（三）支持企业提速提质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对销售收入首次达到10亿元的奖励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万元，每新上一个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亿元台阶再奖励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万元；首次达到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亿元的奖励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万元。获批国家专精特新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小巨人企业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、单项冠军企业奖励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万元，省级奖励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万元；境内A股首发上市的奖励3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0万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对进入统计部门固定资产投资项目库、当年实施单个项目设备投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入1000万元以上的技改项目，按照入库设备投资额8%给予奖补，最高不超过300万元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对新命名为国家级、省级绿色工厂和绿色供应链管理示范企业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，分别奖励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万元、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万元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新获批国家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绿色产品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的，分别奖励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万元、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万元。对主导制（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）订国际标准、国家标准、行业标准的，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别给予100万元、60万元、40万元一次性奖励。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  <w:t>（市工业和信息化局、市财政局按职责分工负责）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（四）推广新型储能应用。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推进储能规模化应用，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光伏发电市场化并网项目应按照功率10%的比例，通过自建、合建或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购买等方式，配套新型储能。对于独立新型储能项目，按照省发展改革委《关于加快推动我省新型储能项目高质量发展的若干措施的通知》（苏发改能源发〔2023〕775号）要求，积极争取省补资金。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积极创建多元化的充、换电场景，满足更多电动车主的用电和出行需求。加快对本地企业新技术、新产品的推广应用，围绕城市建设、民生改善、数字赋能等领域应用场景择优支持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  <w:t>（市发展改革委、市工业和信息化局按职责分工负责）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（五）鼓励加大金融支持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充分发挥宿迁市产业发展基金、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宿迁产发科技股权投资基金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及各县区相关基金引导作用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促进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新项目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落地转化，支持新型储能企业快速发展。鼓励银行业金融机构围绕新型储能产业链上下游，为优质企业提供多元化金融服务。鼓励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国有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融资租赁、商业保理、担保公司支持新型储能产业健康发展，对成效明显的，在金融服务相关政策上给予支持。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  <w:t>（市地方金融监管局、市财政局按职责分工负责）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（六）强化人才招引培育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加大对储能领域人才的招引和培育力度，对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符合条件的人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发放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3万元-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购房券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3万元-50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万元生活补贴。对申报入选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宿迁英才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雄英计划的双创人才，给予3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0万元-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万元项目资助，双创团队给予1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的人才经费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优先推介申报省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双创计划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333工程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科技企业家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等人才计划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向金融机构、担保公司、风险投资公司等推荐投融资项目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u w:val="none"/>
          <w:lang w:val="en-US" w:eastAsia="zh-CN" w:bidi="ar-SA"/>
        </w:rPr>
        <w:t>（市委组织部、市科技局、市财政局按职责分工负责）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  <w:u w:val="none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（一）强化组织领导。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坚持高位统筹、上下联动，扎实推进新型储能产业快速发展。建立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定期会办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机制，及时收集、协调、解决新型储能产业发展过程中遇到的相关问题。建立行业发展专家智库，从行业协会、龙头企业、科研机构、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高等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院校等机构聘请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首席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专家，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常态化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指导我市新型储能产业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（二）强化要素保障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对于先进新型储能项目，优先列入省市重大项目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，在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土地、能耗等要素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方面予以优先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保障。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提升帮办服务水平，强化水电气热、金融、人才等要素资源支撑作用。优化项目审批程序，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畅通新型储能项目手续办理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绿色通道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，全力推动储能项目快审批、快建设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、快达效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（三）强化建设标准。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储能涉网设备应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符合电网安全运行相关技术要求。独立新型储能项目有效全容量下连续放电时间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应当不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低于2小时，采用锂电池技术的在不更换主要设备的前提下完全充放电次数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应当不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低于6000次，充放电深度不低于90%，并选用技术成熟、安全性能高的电池，稳妥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梯次利用动力电池。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（四）强化安全管理。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引导新型储能企业供给高安全、长寿命储能产品。明确产业上下游各环节安全责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任主体，强化安全责任落实，加强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市内储能电站、用户端安全管理，提升各有关单位的风险预警与安全防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范意识。探索试行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新型储能生产者责任延伸制，积极引导我市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储能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企业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探索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建立电池回收网络渠道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（五）强化集聚建设。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面向新型储能产业发展需求，绘制产业链“四张图”“五清单”，通过政策激励、落实机制、组织推进，加强项目对接，促成产业上下游战略合作，强化产业链建链补链，支持我市重点企业布局储能板块，加速形成储能材料生产、设备制造、系统集成、运行检测等重点点位，加快打造完整产业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本政策措施中各项奖补资金，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项目招引建设中的“一事一议”“一企一策”相关资金部分由各县区政府（管委会）承担，设备投资额补贴由市财政承担，其他按照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县域企业由市、县财政2:8比例分别承担，市区企业由市、区财政5:5比例分别承担。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本措施自2023年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日起施行，有效期至2026年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日。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政策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措施执行期间如遇国家和省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有关政策及规定调整的，本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政策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措施进行相应调整。同一事项同时符合本措施与本市其他政策措施的，按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就高、不重复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firstLine="210" w:firstLineChars="100"/>
        <w:textAlignment w:val="auto"/>
        <w:rPr>
          <w:rFonts w:hint="default" w:ascii="Times New Roman" w:hAnsi="Times New Roman" w:eastAsia="方正仿宋_GBK" w:cs="Times New Roman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9590" cy="2540"/>
                <wp:effectExtent l="0" t="7620" r="13970" b="127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5pt;height:0.2pt;width:441.7pt;z-index:251661312;mso-width-relative:page;mso-height-relative:page;" filled="f" stroked="t" coordsize="21600,21600" o:gfxdata="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GGLfjVAAAABAEAAA8AAAAAAAAAAQAgAAAAIgAAAGRycy9kb3ducmV2&#10;LnhtbFBLAQIUABQAAAAIAIdO4kALK+uJ/wEAAPYDAAAOAAAAAAAAAAEAIAAAACQBAABkcnMvZTJv&#10;RG9jLnhtbFBLBQYAAAAABgAGAFkBAACV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spacing w:val="-2"/>
          <w:sz w:val="28"/>
          <w:szCs w:val="28"/>
        </w:rPr>
        <w:t>市</w:t>
      </w:r>
      <w:r>
        <w:rPr>
          <w:rFonts w:hint="default" w:ascii="Times New Roman" w:hAnsi="Times New Roman" w:eastAsia="方正仿宋_GBK" w:cs="Times New Roman"/>
          <w:spacing w:val="-4"/>
          <w:sz w:val="28"/>
          <w:szCs w:val="28"/>
        </w:rPr>
        <w:t>委各部委办，市人大常委会办公室，市政协办公室，市监委，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1059" w:firstLineChars="384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-2"/>
          <w:sz w:val="28"/>
          <w:szCs w:val="28"/>
        </w:rPr>
        <w:t>市法院，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市检察院，宿迁军分区。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firstLine="28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5611495" cy="2540"/>
                <wp:effectExtent l="0" t="7620" r="12065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05pt;height:0.2pt;width:441.85pt;z-index:251663360;mso-width-relative:page;mso-height-relative:page;" filled="f" stroked="t" coordsize="21600,21600" o:gfxdata="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IX7fbWAAAABgEAAA8AAAAAAAAAAQAgAAAAIgAAAGRycy9kb3ducmV2&#10;LnhtbFBLAQIUABQAAAAIAIdO4kCOzKCF/gEAAPYDAAAOAAAAAAAAAAEAIAAAACUBAABkcnMvZTJv&#10;RG9jLnhtbFBLBQYAAAAABgAGAFkBAACV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15940" cy="254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pt;height:0.2pt;width:442.2pt;z-index:251662336;mso-width-relative:page;mso-height-relative:page;" filled="f" stroked="t" coordsize="21600,21600" o:gfxdata="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nrlJ9MAAAAEAQAADwAAAAAAAAABACAAAAAiAAAAZHJzL2Rvd25yZXYueG1sUEsB&#10;AhQAFAAAAAgAh07iQAyqubL6AQAA9Q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宿迁市人民政府办公室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OTBjZWEwYWVlMThhMDUyMzVjMzBkMTZjMWYzNzEifQ=="/>
  </w:docVars>
  <w:rsids>
    <w:rsidRoot w:val="0972077E"/>
    <w:rsid w:val="0972077E"/>
    <w:rsid w:val="1B924AD7"/>
    <w:rsid w:val="2D9032B7"/>
    <w:rsid w:val="360E79E8"/>
    <w:rsid w:val="5A527D51"/>
    <w:rsid w:val="7A546A38"/>
    <w:rsid w:val="7D2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0"/>
      <w:sz w:val="44"/>
      <w:szCs w:val="20"/>
    </w:rPr>
  </w:style>
  <w:style w:type="paragraph" w:styleId="3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overflowPunct/>
      <w:autoSpaceDE/>
      <w:autoSpaceDN/>
      <w:adjustRightInd/>
      <w:snapToGrid/>
      <w:spacing w:before="100" w:beforeAutospacing="1" w:after="100" w:afterAutospacing="1"/>
      <w:jc w:val="left"/>
    </w:pPr>
    <w:rPr>
      <w:snapToGrid/>
      <w:sz w:val="24"/>
    </w:rPr>
  </w:style>
  <w:style w:type="paragraph" w:customStyle="1" w:styleId="9">
    <w:name w:val="Body Text First Indent 2"/>
    <w:basedOn w:val="10"/>
    <w:qFormat/>
    <w:uiPriority w:val="0"/>
    <w:pPr>
      <w:spacing w:after="120" w:afterLines="0"/>
      <w:ind w:left="420" w:leftChars="200" w:firstLine="420" w:firstLineChars="200"/>
    </w:pPr>
    <w:rPr>
      <w:rFonts w:ascii="Calibri" w:hAnsi="Calibri" w:eastAsia="宋体" w:cs="Times New Roman"/>
      <w:sz w:val="21"/>
    </w:rPr>
  </w:style>
  <w:style w:type="paragraph" w:customStyle="1" w:styleId="10">
    <w:name w:val="Body Text Indent1"/>
    <w:basedOn w:val="1"/>
    <w:qFormat/>
    <w:uiPriority w:val="0"/>
    <w:pPr>
      <w:ind w:firstLine="630"/>
    </w:pPr>
    <w:rPr>
      <w:rFonts w:ascii="Times New Roman" w:hAnsi="Times New Roman" w:eastAsia="仿宋_GB2312" w:cs="Times New Roman"/>
      <w:sz w:val="30"/>
      <w:szCs w:val="24"/>
    </w:rPr>
  </w:style>
  <w:style w:type="paragraph" w:customStyle="1" w:styleId="11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customStyle="1" w:styleId="12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2904</Words>
  <Characters>3013</Characters>
  <Lines>0</Lines>
  <Paragraphs>0</Paragraphs>
  <TotalTime>3</TotalTime>
  <ScaleCrop>false</ScaleCrop>
  <LinksUpToDate>false</LinksUpToDate>
  <CharactersWithSpaces>3032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2023-09-21T09:02:00Z</dcterms:created>
  <dc:creator>Administrator</dc:creator>
  <cp:lastModifiedBy>Administrator</cp:lastModifiedBy>
  <cp:lastPrinted>2023-09-22T09:49:29Z</cp:lastPrinted>
  <dcterms:modified xsi:type="dcterms:W3CDTF">2023-09-22T09:49:48Z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825AA3CD05134937BEC54254310A9CA9</vt:lpwstr>
  </property>
</Properties>
</file>